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胡慧敏</w:t>
      </w:r>
      <w:r>
        <w:rPr>
          <w:rFonts w:hint="eastAsia"/>
          <w:sz w:val="15"/>
          <w:szCs w:val="15"/>
          <w:highlight w:val="none"/>
        </w:rPr>
        <w:t>，</w:t>
      </w:r>
      <w:r>
        <w:rPr>
          <w:rFonts w:hint="eastAsia"/>
          <w:sz w:val="15"/>
          <w:szCs w:val="15"/>
          <w:highlight w:val="none"/>
          <w:lang w:val="en-US" w:eastAsia="zh-CN"/>
        </w:rPr>
        <w:t>130131198801070021</w:t>
      </w:r>
      <w:r>
        <w:rPr>
          <w:rFonts w:hint="eastAsia"/>
          <w:sz w:val="15"/>
          <w:szCs w:val="15"/>
        </w:rPr>
        <w:t xml:space="preserve">  </w:t>
      </w:r>
      <w:r>
        <w:rPr>
          <w:rFonts w:hint="eastAsia"/>
          <w:sz w:val="15"/>
          <w:szCs w:val="15"/>
          <w:lang w:val="en-US" w:eastAsia="zh-CN"/>
        </w:rPr>
        <w:t>冀A36620D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