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孙延周</w:t>
      </w:r>
      <w:r>
        <w:rPr>
          <w:rFonts w:hint="eastAsia"/>
          <w:sz w:val="15"/>
          <w:szCs w:val="15"/>
          <w:highlight w:val="none"/>
        </w:rPr>
        <w:t>，</w:t>
      </w:r>
      <w:r>
        <w:rPr>
          <w:rFonts w:hint="eastAsia"/>
          <w:sz w:val="15"/>
          <w:szCs w:val="15"/>
          <w:highlight w:val="none"/>
          <w:lang w:val="en-US" w:eastAsia="zh-CN"/>
        </w:rPr>
        <w:t>130421197006093610</w:t>
      </w:r>
      <w:r>
        <w:rPr>
          <w:rFonts w:hint="eastAsia"/>
          <w:sz w:val="15"/>
          <w:szCs w:val="15"/>
        </w:rPr>
        <w:t xml:space="preserve">  </w:t>
      </w:r>
      <w:r>
        <w:rPr>
          <w:rFonts w:hint="eastAsia"/>
          <w:sz w:val="15"/>
          <w:szCs w:val="15"/>
          <w:lang w:val="en-US" w:eastAsia="zh-CN"/>
        </w:rPr>
        <w:t>冀D1F606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