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马青林</w:t>
      </w:r>
      <w:r>
        <w:rPr>
          <w:rFonts w:hint="eastAsia"/>
          <w:sz w:val="15"/>
          <w:szCs w:val="15"/>
          <w:highlight w:val="none"/>
        </w:rPr>
        <w:t>，</w:t>
      </w:r>
      <w:r>
        <w:rPr>
          <w:rFonts w:hint="eastAsia"/>
          <w:sz w:val="15"/>
          <w:szCs w:val="15"/>
          <w:highlight w:val="none"/>
          <w:lang w:val="en-US" w:eastAsia="zh-CN"/>
        </w:rPr>
        <w:t>132326196509251311</w:t>
      </w:r>
      <w:r>
        <w:rPr>
          <w:rFonts w:hint="eastAsia"/>
          <w:sz w:val="15"/>
          <w:szCs w:val="15"/>
        </w:rPr>
        <w:t xml:space="preserve">  </w:t>
      </w:r>
      <w:r>
        <w:rPr>
          <w:rFonts w:hint="eastAsia"/>
          <w:sz w:val="15"/>
          <w:szCs w:val="15"/>
          <w:lang w:val="en-US" w:eastAsia="zh-CN"/>
        </w:rPr>
        <w:t>冀A947AU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