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封晓花</w:t>
      </w:r>
      <w:r>
        <w:rPr>
          <w:rFonts w:hint="eastAsia"/>
          <w:sz w:val="15"/>
          <w:szCs w:val="15"/>
          <w:highlight w:val="none"/>
        </w:rPr>
        <w:t>，</w:t>
      </w:r>
      <w:r>
        <w:rPr>
          <w:rFonts w:hint="eastAsia"/>
          <w:sz w:val="15"/>
          <w:szCs w:val="15"/>
          <w:highlight w:val="none"/>
          <w:lang w:val="en-US" w:eastAsia="zh-CN"/>
        </w:rPr>
        <w:t>13013119851129334X</w:t>
      </w:r>
      <w:r>
        <w:rPr>
          <w:rFonts w:hint="eastAsia"/>
          <w:sz w:val="15"/>
          <w:szCs w:val="15"/>
        </w:rPr>
        <w:t xml:space="preserve">  </w:t>
      </w:r>
      <w:r>
        <w:rPr>
          <w:rFonts w:hint="eastAsia"/>
          <w:sz w:val="15"/>
          <w:szCs w:val="15"/>
          <w:lang w:val="en-US" w:eastAsia="zh-CN"/>
        </w:rPr>
        <w:t>冀A713S8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