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王胜军</w:t>
      </w:r>
      <w:r>
        <w:rPr>
          <w:rFonts w:hint="eastAsia"/>
          <w:sz w:val="15"/>
          <w:szCs w:val="15"/>
          <w:highlight w:val="none"/>
        </w:rPr>
        <w:t>，</w:t>
      </w:r>
      <w:r>
        <w:rPr>
          <w:rFonts w:hint="eastAsia"/>
          <w:sz w:val="15"/>
          <w:szCs w:val="15"/>
          <w:highlight w:val="none"/>
          <w:lang w:val="en-US" w:eastAsia="zh-CN"/>
        </w:rPr>
        <w:t>133024197003120011</w:t>
      </w:r>
      <w:r>
        <w:rPr>
          <w:rFonts w:hint="eastAsia"/>
          <w:sz w:val="15"/>
          <w:szCs w:val="15"/>
        </w:rPr>
        <w:t xml:space="preserve">  </w:t>
      </w:r>
      <w:r>
        <w:rPr>
          <w:rFonts w:hint="eastAsia"/>
          <w:sz w:val="15"/>
          <w:szCs w:val="15"/>
          <w:lang w:val="en-US" w:eastAsia="zh-CN"/>
        </w:rPr>
        <w:t>冀TL3035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