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吴广林</w:t>
      </w:r>
      <w:r>
        <w:rPr>
          <w:rFonts w:hint="eastAsia"/>
          <w:sz w:val="15"/>
          <w:szCs w:val="15"/>
          <w:highlight w:val="none"/>
        </w:rPr>
        <w:t>，</w:t>
      </w:r>
      <w:r>
        <w:rPr>
          <w:rFonts w:hint="eastAsia"/>
          <w:sz w:val="15"/>
          <w:szCs w:val="15"/>
          <w:highlight w:val="none"/>
          <w:lang w:val="en-US" w:eastAsia="zh-CN"/>
        </w:rPr>
        <w:t>13012119850402101X</w:t>
      </w:r>
      <w:r>
        <w:rPr>
          <w:rFonts w:hint="eastAsia"/>
          <w:sz w:val="15"/>
          <w:szCs w:val="15"/>
        </w:rPr>
        <w:t xml:space="preserve">  </w:t>
      </w:r>
      <w:r>
        <w:rPr>
          <w:rFonts w:hint="eastAsia"/>
          <w:sz w:val="15"/>
          <w:szCs w:val="15"/>
          <w:lang w:val="en-US" w:eastAsia="zh-CN"/>
        </w:rPr>
        <w:t>冀A58590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