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马朋立</w:t>
      </w:r>
      <w:r>
        <w:rPr>
          <w:rFonts w:hint="eastAsia"/>
          <w:sz w:val="15"/>
          <w:szCs w:val="15"/>
          <w:highlight w:val="none"/>
        </w:rPr>
        <w:t>，</w:t>
      </w:r>
      <w:r>
        <w:rPr>
          <w:rFonts w:hint="eastAsia"/>
          <w:sz w:val="15"/>
          <w:szCs w:val="15"/>
          <w:highlight w:val="none"/>
          <w:lang w:val="en-US" w:eastAsia="zh-CN"/>
        </w:rPr>
        <w:t>130125198206078531</w:t>
      </w:r>
      <w:r>
        <w:rPr>
          <w:rFonts w:hint="eastAsia"/>
          <w:sz w:val="15"/>
          <w:szCs w:val="15"/>
        </w:rPr>
        <w:t xml:space="preserve">  </w:t>
      </w:r>
      <w:r>
        <w:rPr>
          <w:rFonts w:hint="eastAsia"/>
          <w:sz w:val="15"/>
          <w:szCs w:val="15"/>
          <w:lang w:val="en-US" w:eastAsia="zh-CN"/>
        </w:rPr>
        <w:t>冀ABA765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