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w:t>
      </w:r>
      <w:r>
        <w:rPr>
          <w:rFonts w:hint="eastAsia"/>
          <w:sz w:val="15"/>
          <w:szCs w:val="15"/>
          <w:highlight w:val="none"/>
        </w:rPr>
        <w:t>，</w:t>
      </w:r>
      <w:r>
        <w:rPr>
          <w:rFonts w:hint="eastAsia"/>
          <w:sz w:val="15"/>
          <w:szCs w:val="15"/>
          <w:highlight w:val="none"/>
          <w:lang w:val="en-US" w:eastAsia="zh-CN"/>
        </w:rPr>
        <w:t>130622198005147615</w:t>
      </w:r>
      <w:r>
        <w:rPr>
          <w:rFonts w:hint="eastAsia"/>
          <w:sz w:val="15"/>
          <w:szCs w:val="15"/>
        </w:rPr>
        <w:t xml:space="preserve">  </w:t>
      </w:r>
      <w:r>
        <w:rPr>
          <w:rFonts w:hint="eastAsia"/>
          <w:sz w:val="15"/>
          <w:szCs w:val="15"/>
          <w:lang w:val="en-US" w:eastAsia="zh-CN"/>
        </w:rPr>
        <w:t>冀FR8087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