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胡玉辉</w:t>
      </w:r>
      <w:r>
        <w:rPr>
          <w:rFonts w:hint="eastAsia"/>
          <w:sz w:val="15"/>
          <w:szCs w:val="15"/>
          <w:highlight w:val="none"/>
        </w:rPr>
        <w:t>，</w:t>
      </w:r>
      <w:r>
        <w:rPr>
          <w:rFonts w:hint="eastAsia"/>
          <w:sz w:val="15"/>
          <w:szCs w:val="15"/>
          <w:highlight w:val="none"/>
          <w:lang w:val="en-US" w:eastAsia="zh-CN"/>
        </w:rPr>
        <w:t>132302197708222015</w:t>
      </w:r>
      <w:r>
        <w:rPr>
          <w:rFonts w:hint="eastAsia"/>
          <w:sz w:val="15"/>
          <w:szCs w:val="15"/>
        </w:rPr>
        <w:t xml:space="preserve">  </w:t>
      </w:r>
      <w:r>
        <w:rPr>
          <w:rFonts w:hint="eastAsia"/>
          <w:sz w:val="15"/>
          <w:szCs w:val="15"/>
          <w:lang w:val="en-US" w:eastAsia="zh-CN"/>
        </w:rPr>
        <w:t>冀A843AH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