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王风梅</w:t>
      </w:r>
      <w:r>
        <w:rPr>
          <w:rFonts w:hint="eastAsia"/>
          <w:sz w:val="15"/>
          <w:szCs w:val="15"/>
          <w:highlight w:val="none"/>
        </w:rPr>
        <w:t>，</w:t>
      </w:r>
      <w:r>
        <w:rPr>
          <w:rFonts w:hint="eastAsia"/>
          <w:sz w:val="15"/>
          <w:szCs w:val="15"/>
          <w:highlight w:val="none"/>
          <w:lang w:val="en-US" w:eastAsia="zh-CN"/>
        </w:rPr>
        <w:t>130131198510015401</w:t>
      </w:r>
      <w:r>
        <w:rPr>
          <w:rFonts w:hint="eastAsia"/>
          <w:sz w:val="15"/>
          <w:szCs w:val="15"/>
        </w:rPr>
        <w:t xml:space="preserve">  </w:t>
      </w:r>
      <w:r>
        <w:rPr>
          <w:rFonts w:hint="eastAsia"/>
          <w:sz w:val="15"/>
          <w:szCs w:val="15"/>
          <w:lang w:val="en-US" w:eastAsia="zh-CN"/>
        </w:rPr>
        <w:t>冀A949U3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