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王东</w:t>
      </w:r>
      <w:r>
        <w:rPr>
          <w:rFonts w:hint="eastAsia"/>
          <w:sz w:val="15"/>
          <w:szCs w:val="15"/>
          <w:highlight w:val="none"/>
        </w:rPr>
        <w:t>，</w:t>
      </w:r>
      <w:r>
        <w:rPr>
          <w:rFonts w:hint="eastAsia"/>
          <w:sz w:val="15"/>
          <w:szCs w:val="15"/>
          <w:highlight w:val="none"/>
          <w:lang w:val="en-US" w:eastAsia="zh-CN"/>
        </w:rPr>
        <w:t>130125197606178019</w:t>
      </w:r>
      <w:r>
        <w:rPr>
          <w:rFonts w:hint="eastAsia"/>
          <w:sz w:val="15"/>
          <w:szCs w:val="15"/>
        </w:rPr>
        <w:t xml:space="preserve">  </w:t>
      </w:r>
      <w:r>
        <w:rPr>
          <w:rFonts w:hint="eastAsia"/>
          <w:sz w:val="15"/>
          <w:szCs w:val="15"/>
          <w:lang w:val="en-US" w:eastAsia="zh-CN"/>
        </w:rPr>
        <w:t>冀A34372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