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孟卫霞</w:t>
      </w:r>
      <w:r>
        <w:rPr>
          <w:rFonts w:hint="eastAsia"/>
          <w:sz w:val="15"/>
          <w:szCs w:val="15"/>
          <w:highlight w:val="none"/>
        </w:rPr>
        <w:t>，</w:t>
      </w:r>
      <w:r>
        <w:rPr>
          <w:rFonts w:hint="eastAsia"/>
          <w:sz w:val="15"/>
          <w:szCs w:val="15"/>
          <w:highlight w:val="none"/>
          <w:lang w:val="en-US" w:eastAsia="zh-CN"/>
        </w:rPr>
        <w:t>132337197801083347</w:t>
      </w:r>
      <w:r>
        <w:rPr>
          <w:rFonts w:hint="eastAsia"/>
          <w:sz w:val="15"/>
          <w:szCs w:val="15"/>
        </w:rPr>
        <w:t xml:space="preserve">  </w:t>
      </w:r>
      <w:r>
        <w:rPr>
          <w:rFonts w:hint="eastAsia"/>
          <w:sz w:val="15"/>
          <w:szCs w:val="15"/>
          <w:lang w:val="en-US" w:eastAsia="zh-CN"/>
        </w:rPr>
        <w:t>冀AKH927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