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张宏燕</w:t>
      </w:r>
      <w:r>
        <w:rPr>
          <w:rFonts w:hint="eastAsia"/>
          <w:sz w:val="15"/>
          <w:szCs w:val="15"/>
          <w:highlight w:val="none"/>
        </w:rPr>
        <w:t>，</w:t>
      </w:r>
      <w:r>
        <w:rPr>
          <w:rFonts w:hint="eastAsia"/>
          <w:sz w:val="15"/>
          <w:szCs w:val="15"/>
          <w:highlight w:val="none"/>
          <w:lang w:val="en-US" w:eastAsia="zh-CN"/>
        </w:rPr>
        <w:t>142427200101130324</w:t>
      </w:r>
      <w:r>
        <w:rPr>
          <w:rFonts w:hint="eastAsia"/>
          <w:sz w:val="15"/>
          <w:szCs w:val="15"/>
        </w:rPr>
        <w:t xml:space="preserve">  </w:t>
      </w:r>
      <w:r>
        <w:rPr>
          <w:rFonts w:hint="eastAsia"/>
          <w:sz w:val="15"/>
          <w:szCs w:val="15"/>
          <w:lang w:val="en-US" w:eastAsia="zh-CN"/>
        </w:rPr>
        <w:t>晋KE2981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