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黄翠艳</w:t>
      </w:r>
      <w:r>
        <w:rPr>
          <w:rFonts w:hint="eastAsia"/>
          <w:sz w:val="15"/>
          <w:szCs w:val="15"/>
          <w:highlight w:val="none"/>
        </w:rPr>
        <w:t>，</w:t>
      </w:r>
      <w:r>
        <w:rPr>
          <w:rFonts w:hint="eastAsia"/>
          <w:sz w:val="15"/>
          <w:szCs w:val="15"/>
          <w:highlight w:val="none"/>
          <w:lang w:val="en-US" w:eastAsia="zh-CN"/>
        </w:rPr>
        <w:t>130182198603081942</w:t>
      </w:r>
      <w:r>
        <w:rPr>
          <w:rFonts w:hint="eastAsia"/>
          <w:sz w:val="15"/>
          <w:szCs w:val="15"/>
        </w:rPr>
        <w:t xml:space="preserve">  </w:t>
      </w:r>
      <w:r>
        <w:rPr>
          <w:rFonts w:hint="eastAsia"/>
          <w:sz w:val="15"/>
          <w:szCs w:val="15"/>
          <w:lang w:val="en-US" w:eastAsia="zh-CN"/>
        </w:rPr>
        <w:t>冀A3901V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