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段悦召</w:t>
      </w:r>
      <w:r>
        <w:rPr>
          <w:rFonts w:hint="eastAsia"/>
          <w:sz w:val="15"/>
          <w:szCs w:val="15"/>
          <w:highlight w:val="none"/>
        </w:rPr>
        <w:t>，</w:t>
      </w:r>
      <w:r>
        <w:rPr>
          <w:rFonts w:hint="eastAsia"/>
          <w:sz w:val="15"/>
          <w:szCs w:val="15"/>
          <w:highlight w:val="none"/>
          <w:lang w:val="en-US" w:eastAsia="zh-CN"/>
        </w:rPr>
        <w:t>130125200110146536</w:t>
      </w:r>
      <w:r>
        <w:rPr>
          <w:rFonts w:hint="eastAsia"/>
          <w:sz w:val="15"/>
          <w:szCs w:val="15"/>
        </w:rPr>
        <w:t xml:space="preserve">  </w:t>
      </w:r>
      <w:r>
        <w:rPr>
          <w:rFonts w:hint="eastAsia"/>
          <w:sz w:val="15"/>
          <w:szCs w:val="15"/>
          <w:lang w:val="en-US" w:eastAsia="zh-CN"/>
        </w:rPr>
        <w:t>冀A7631K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