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左建云</w:t>
      </w:r>
      <w:r>
        <w:rPr>
          <w:rFonts w:hint="eastAsia"/>
          <w:sz w:val="15"/>
          <w:szCs w:val="15"/>
          <w:highlight w:val="none"/>
        </w:rPr>
        <w:t>，</w:t>
      </w:r>
      <w:r>
        <w:rPr>
          <w:rFonts w:hint="eastAsia"/>
          <w:sz w:val="15"/>
          <w:szCs w:val="15"/>
          <w:highlight w:val="none"/>
          <w:lang w:val="en-US" w:eastAsia="zh-CN"/>
        </w:rPr>
        <w:t>130121198412221823</w:t>
      </w:r>
      <w:r>
        <w:rPr>
          <w:rFonts w:hint="eastAsia"/>
          <w:sz w:val="15"/>
          <w:szCs w:val="15"/>
        </w:rPr>
        <w:t xml:space="preserve">  </w:t>
      </w:r>
      <w:r>
        <w:rPr>
          <w:rFonts w:hint="eastAsia"/>
          <w:sz w:val="15"/>
          <w:szCs w:val="15"/>
          <w:lang w:val="en-US" w:eastAsia="zh-CN"/>
        </w:rPr>
        <w:t>冀A72466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