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宋瑞军</w:t>
      </w:r>
      <w:r>
        <w:rPr>
          <w:rFonts w:hint="eastAsia"/>
          <w:sz w:val="15"/>
          <w:szCs w:val="15"/>
          <w:highlight w:val="none"/>
        </w:rPr>
        <w:t>，</w:t>
      </w:r>
      <w:r>
        <w:rPr>
          <w:rFonts w:hint="eastAsia"/>
          <w:sz w:val="15"/>
          <w:szCs w:val="15"/>
          <w:highlight w:val="none"/>
          <w:lang w:val="en-US" w:eastAsia="zh-CN"/>
        </w:rPr>
        <w:t>130121198008010039</w:t>
      </w:r>
      <w:r>
        <w:rPr>
          <w:rFonts w:hint="eastAsia"/>
          <w:sz w:val="15"/>
          <w:szCs w:val="15"/>
        </w:rPr>
        <w:t xml:space="preserve">  </w:t>
      </w:r>
      <w:r>
        <w:rPr>
          <w:rFonts w:hint="eastAsia"/>
          <w:sz w:val="15"/>
          <w:szCs w:val="15"/>
          <w:lang w:val="en-US" w:eastAsia="zh-CN"/>
        </w:rPr>
        <w:t>冀A58174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