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王华</w:t>
      </w:r>
      <w:r>
        <w:rPr>
          <w:rFonts w:hint="eastAsia"/>
          <w:sz w:val="15"/>
          <w:szCs w:val="15"/>
          <w:highlight w:val="none"/>
        </w:rPr>
        <w:t>，</w:t>
      </w:r>
      <w:r>
        <w:rPr>
          <w:rFonts w:hint="eastAsia"/>
          <w:sz w:val="15"/>
          <w:szCs w:val="15"/>
          <w:highlight w:val="none"/>
          <w:lang w:val="en-US" w:eastAsia="zh-CN"/>
        </w:rPr>
        <w:t>130130198807120636</w:t>
      </w:r>
      <w:r>
        <w:rPr>
          <w:rFonts w:hint="eastAsia"/>
          <w:sz w:val="15"/>
          <w:szCs w:val="15"/>
        </w:rPr>
        <w:t xml:space="preserve">  </w:t>
      </w:r>
      <w:r>
        <w:rPr>
          <w:rFonts w:hint="eastAsia"/>
          <w:sz w:val="15"/>
          <w:szCs w:val="15"/>
          <w:lang w:val="en-US" w:eastAsia="zh-CN"/>
        </w:rPr>
        <w:t>冀A3805H</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