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李新霞</w:t>
      </w:r>
      <w:r>
        <w:rPr>
          <w:rFonts w:hint="eastAsia"/>
          <w:sz w:val="15"/>
          <w:szCs w:val="15"/>
          <w:highlight w:val="none"/>
        </w:rPr>
        <w:t>，</w:t>
      </w:r>
      <w:r>
        <w:rPr>
          <w:rFonts w:hint="eastAsia"/>
          <w:sz w:val="15"/>
          <w:szCs w:val="15"/>
          <w:highlight w:val="none"/>
          <w:lang w:val="en-US" w:eastAsia="zh-CN"/>
        </w:rPr>
        <w:t>130126199201290024</w:t>
      </w:r>
      <w:r>
        <w:rPr>
          <w:rFonts w:hint="eastAsia"/>
          <w:sz w:val="15"/>
          <w:szCs w:val="15"/>
        </w:rPr>
        <w:t xml:space="preserve">  </w:t>
      </w:r>
      <w:r>
        <w:rPr>
          <w:rFonts w:hint="eastAsia"/>
          <w:sz w:val="15"/>
          <w:szCs w:val="15"/>
          <w:lang w:val="en-US" w:eastAsia="zh-CN"/>
        </w:rPr>
        <w:t>冀AV6292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