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边智灵</w:t>
      </w:r>
      <w:r>
        <w:rPr>
          <w:rFonts w:hint="eastAsia"/>
          <w:sz w:val="15"/>
          <w:szCs w:val="15"/>
          <w:highlight w:val="none"/>
        </w:rPr>
        <w:t>，</w:t>
      </w:r>
      <w:r>
        <w:rPr>
          <w:rFonts w:hint="eastAsia"/>
          <w:sz w:val="15"/>
          <w:szCs w:val="15"/>
          <w:highlight w:val="none"/>
          <w:lang w:val="en-US" w:eastAsia="zh-CN"/>
        </w:rPr>
        <w:t>14222319881208361X</w:t>
      </w:r>
      <w:r>
        <w:rPr>
          <w:rFonts w:hint="eastAsia"/>
          <w:sz w:val="15"/>
          <w:szCs w:val="15"/>
        </w:rPr>
        <w:t xml:space="preserve">  </w:t>
      </w:r>
      <w:r>
        <w:rPr>
          <w:rFonts w:hint="eastAsia"/>
          <w:sz w:val="15"/>
          <w:szCs w:val="15"/>
          <w:lang w:val="en-US" w:eastAsia="zh-CN"/>
        </w:rPr>
        <w:t>晋HS6874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