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程策</w:t>
      </w:r>
      <w:r>
        <w:rPr>
          <w:rFonts w:hint="eastAsia"/>
          <w:sz w:val="15"/>
          <w:szCs w:val="15"/>
          <w:highlight w:val="none"/>
        </w:rPr>
        <w:t>，</w:t>
      </w:r>
      <w:r>
        <w:rPr>
          <w:rFonts w:hint="eastAsia"/>
          <w:sz w:val="15"/>
          <w:szCs w:val="15"/>
          <w:highlight w:val="none"/>
          <w:lang w:val="en-US" w:eastAsia="zh-CN"/>
        </w:rPr>
        <w:t>130182199411200956</w:t>
      </w:r>
      <w:r>
        <w:rPr>
          <w:rFonts w:hint="eastAsia"/>
          <w:sz w:val="15"/>
          <w:szCs w:val="15"/>
        </w:rPr>
        <w:t xml:space="preserve">  </w:t>
      </w:r>
      <w:r>
        <w:rPr>
          <w:rFonts w:hint="eastAsia"/>
          <w:sz w:val="15"/>
          <w:szCs w:val="15"/>
          <w:lang w:val="en-US" w:eastAsia="zh-CN"/>
        </w:rPr>
        <w:t>冀AK7885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