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张鹏哲</w:t>
      </w:r>
      <w:r>
        <w:rPr>
          <w:rFonts w:hint="eastAsia"/>
          <w:sz w:val="15"/>
          <w:szCs w:val="15"/>
          <w:highlight w:val="none"/>
        </w:rPr>
        <w:t>，</w:t>
      </w:r>
      <w:r>
        <w:rPr>
          <w:rFonts w:hint="eastAsia"/>
          <w:sz w:val="15"/>
          <w:szCs w:val="15"/>
          <w:highlight w:val="none"/>
          <w:lang w:val="en-US" w:eastAsia="zh-CN"/>
        </w:rPr>
        <w:t>13018219851121391X</w:t>
      </w:r>
      <w:r>
        <w:rPr>
          <w:rFonts w:hint="eastAsia"/>
          <w:sz w:val="15"/>
          <w:szCs w:val="15"/>
        </w:rPr>
        <w:t xml:space="preserve">  </w:t>
      </w:r>
      <w:r>
        <w:rPr>
          <w:rFonts w:hint="eastAsia"/>
          <w:sz w:val="15"/>
          <w:szCs w:val="15"/>
          <w:lang w:val="en-US" w:eastAsia="zh-CN"/>
        </w:rPr>
        <w:t>晋B03261D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