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孙艳锋</w:t>
      </w:r>
      <w:r>
        <w:rPr>
          <w:rFonts w:hint="eastAsia"/>
          <w:sz w:val="15"/>
          <w:szCs w:val="15"/>
          <w:highlight w:val="none"/>
        </w:rPr>
        <w:t>，</w:t>
      </w:r>
      <w:r>
        <w:rPr>
          <w:rFonts w:hint="eastAsia"/>
          <w:sz w:val="15"/>
          <w:szCs w:val="15"/>
          <w:highlight w:val="none"/>
          <w:lang w:val="en-US" w:eastAsia="zh-CN"/>
        </w:rPr>
        <w:t>130126198308091215</w:t>
      </w:r>
      <w:r>
        <w:rPr>
          <w:rFonts w:hint="eastAsia"/>
          <w:sz w:val="15"/>
          <w:szCs w:val="15"/>
        </w:rPr>
        <w:t xml:space="preserve">  </w:t>
      </w:r>
      <w:r>
        <w:rPr>
          <w:rFonts w:hint="eastAsia"/>
          <w:sz w:val="15"/>
          <w:szCs w:val="15"/>
          <w:lang w:val="en-US" w:eastAsia="zh-CN"/>
        </w:rPr>
        <w:t>冀A77K24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