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李佳</w:t>
      </w:r>
      <w:r>
        <w:rPr>
          <w:rFonts w:hint="eastAsia"/>
          <w:sz w:val="15"/>
          <w:szCs w:val="15"/>
          <w:highlight w:val="none"/>
        </w:rPr>
        <w:t>，</w:t>
      </w:r>
      <w:r>
        <w:rPr>
          <w:rFonts w:hint="eastAsia"/>
          <w:sz w:val="15"/>
          <w:szCs w:val="15"/>
          <w:highlight w:val="none"/>
          <w:lang w:val="en-US" w:eastAsia="zh-CN"/>
        </w:rPr>
        <w:t>130130198806190616</w:t>
      </w:r>
      <w:r>
        <w:rPr>
          <w:rFonts w:hint="eastAsia"/>
          <w:sz w:val="15"/>
          <w:szCs w:val="15"/>
        </w:rPr>
        <w:t xml:space="preserve">  </w:t>
      </w:r>
      <w:r>
        <w:rPr>
          <w:rFonts w:hint="eastAsia"/>
          <w:sz w:val="15"/>
          <w:szCs w:val="15"/>
          <w:lang w:val="en-US" w:eastAsia="zh-CN"/>
        </w:rPr>
        <w:t>冀AUR543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