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李凯</w:t>
      </w:r>
      <w:r>
        <w:rPr>
          <w:rFonts w:hint="eastAsia"/>
          <w:sz w:val="15"/>
          <w:szCs w:val="15"/>
          <w:highlight w:val="none"/>
        </w:rPr>
        <w:t>，</w:t>
      </w:r>
      <w:r>
        <w:rPr>
          <w:rFonts w:hint="eastAsia"/>
          <w:sz w:val="15"/>
          <w:szCs w:val="15"/>
          <w:highlight w:val="none"/>
          <w:lang w:val="en-US" w:eastAsia="zh-CN"/>
        </w:rPr>
        <w:t>130182199007070918</w:t>
      </w:r>
      <w:r>
        <w:rPr>
          <w:rFonts w:hint="eastAsia"/>
          <w:sz w:val="15"/>
          <w:szCs w:val="15"/>
        </w:rPr>
        <w:t xml:space="preserve">  </w:t>
      </w:r>
      <w:r>
        <w:rPr>
          <w:rFonts w:hint="eastAsia"/>
          <w:sz w:val="15"/>
          <w:szCs w:val="15"/>
          <w:lang w:val="en-US" w:eastAsia="zh-CN"/>
        </w:rPr>
        <w:t>冀A71476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