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许晓锋</w:t>
      </w:r>
      <w:r>
        <w:rPr>
          <w:rFonts w:hint="eastAsia"/>
          <w:sz w:val="15"/>
          <w:szCs w:val="15"/>
          <w:highlight w:val="none"/>
        </w:rPr>
        <w:t>，</w:t>
      </w:r>
      <w:r>
        <w:rPr>
          <w:rFonts w:hint="eastAsia"/>
          <w:sz w:val="15"/>
          <w:szCs w:val="15"/>
          <w:highlight w:val="none"/>
          <w:lang w:val="en-US" w:eastAsia="zh-CN"/>
        </w:rPr>
        <w:t>130121199008181019</w:t>
      </w:r>
      <w:r>
        <w:rPr>
          <w:rFonts w:hint="eastAsia"/>
          <w:sz w:val="15"/>
          <w:szCs w:val="15"/>
        </w:rPr>
        <w:t xml:space="preserve">  </w:t>
      </w:r>
      <w:r>
        <w:rPr>
          <w:rFonts w:hint="eastAsia"/>
          <w:sz w:val="15"/>
          <w:szCs w:val="15"/>
          <w:lang w:val="en-US" w:eastAsia="zh-CN"/>
        </w:rPr>
        <w:t>冀A91338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