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贾进卫</w:t>
      </w:r>
      <w:r>
        <w:rPr>
          <w:rFonts w:hint="eastAsia"/>
          <w:sz w:val="15"/>
          <w:szCs w:val="15"/>
          <w:highlight w:val="none"/>
        </w:rPr>
        <w:t>，</w:t>
      </w:r>
      <w:r>
        <w:rPr>
          <w:rFonts w:hint="eastAsia"/>
          <w:sz w:val="15"/>
          <w:szCs w:val="15"/>
          <w:highlight w:val="none"/>
          <w:lang w:val="en-US" w:eastAsia="zh-CN"/>
        </w:rPr>
        <w:t>130121198612192836</w:t>
      </w:r>
      <w:r>
        <w:rPr>
          <w:rFonts w:hint="eastAsia"/>
          <w:sz w:val="15"/>
          <w:szCs w:val="15"/>
        </w:rPr>
        <w:t xml:space="preserve">  </w:t>
      </w:r>
      <w:r>
        <w:rPr>
          <w:rFonts w:hint="eastAsia"/>
          <w:sz w:val="15"/>
          <w:szCs w:val="15"/>
          <w:lang w:val="en-US" w:eastAsia="zh-CN"/>
        </w:rPr>
        <w:t>冀AKL315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