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杨吉辉</w:t>
      </w:r>
      <w:r>
        <w:rPr>
          <w:rFonts w:hint="eastAsia"/>
          <w:sz w:val="15"/>
          <w:szCs w:val="15"/>
          <w:highlight w:val="none"/>
        </w:rPr>
        <w:t>，</w:t>
      </w:r>
      <w:r>
        <w:rPr>
          <w:rFonts w:hint="eastAsia"/>
          <w:sz w:val="15"/>
          <w:szCs w:val="15"/>
          <w:highlight w:val="none"/>
          <w:lang w:val="en-US" w:eastAsia="zh-CN"/>
        </w:rPr>
        <w:t>132302196611102012</w:t>
      </w:r>
      <w:r>
        <w:rPr>
          <w:rFonts w:hint="eastAsia"/>
          <w:sz w:val="15"/>
          <w:szCs w:val="15"/>
        </w:rPr>
        <w:t xml:space="preserve">  </w:t>
      </w:r>
      <w:r>
        <w:rPr>
          <w:rFonts w:hint="eastAsia"/>
          <w:sz w:val="15"/>
          <w:szCs w:val="15"/>
          <w:lang w:val="en-US" w:eastAsia="zh-CN"/>
        </w:rPr>
        <w:t>冀AEH550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