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赵利</w:t>
      </w:r>
      <w:r>
        <w:rPr>
          <w:rFonts w:hint="eastAsia"/>
          <w:sz w:val="15"/>
          <w:szCs w:val="15"/>
          <w:highlight w:val="none"/>
        </w:rPr>
        <w:t>，</w:t>
      </w:r>
      <w:r>
        <w:rPr>
          <w:rFonts w:hint="eastAsia"/>
          <w:sz w:val="15"/>
          <w:szCs w:val="15"/>
          <w:highlight w:val="none"/>
          <w:lang w:val="en-US" w:eastAsia="zh-CN"/>
        </w:rPr>
        <w:t>132337197409300909</w:t>
      </w:r>
      <w:r>
        <w:rPr>
          <w:rFonts w:hint="eastAsia"/>
          <w:sz w:val="15"/>
          <w:szCs w:val="15"/>
        </w:rPr>
        <w:t xml:space="preserve">  </w:t>
      </w:r>
      <w:r>
        <w:rPr>
          <w:rFonts w:hint="eastAsia"/>
          <w:sz w:val="15"/>
          <w:szCs w:val="15"/>
          <w:lang w:val="en-US" w:eastAsia="zh-CN"/>
        </w:rPr>
        <w:t>冀AK9023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