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候军辉</w:t>
      </w:r>
      <w:r>
        <w:rPr>
          <w:rFonts w:hint="eastAsia"/>
          <w:sz w:val="15"/>
          <w:szCs w:val="15"/>
          <w:highlight w:val="none"/>
        </w:rPr>
        <w:t>，</w:t>
      </w:r>
      <w:r>
        <w:rPr>
          <w:rFonts w:hint="eastAsia"/>
          <w:sz w:val="15"/>
          <w:szCs w:val="15"/>
          <w:highlight w:val="none"/>
          <w:lang w:val="en-US" w:eastAsia="zh-CN"/>
        </w:rPr>
        <w:t>132302197004092013</w:t>
      </w:r>
      <w:r>
        <w:rPr>
          <w:rFonts w:hint="eastAsia"/>
          <w:sz w:val="15"/>
          <w:szCs w:val="15"/>
        </w:rPr>
        <w:t xml:space="preserve">  </w:t>
      </w:r>
      <w:r>
        <w:rPr>
          <w:rFonts w:hint="eastAsia"/>
          <w:sz w:val="15"/>
          <w:szCs w:val="15"/>
          <w:lang w:val="en-US" w:eastAsia="zh-CN"/>
        </w:rPr>
        <w:t>冀AER827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