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杨超磊</w:t>
      </w:r>
      <w:r>
        <w:rPr>
          <w:rFonts w:hint="eastAsia"/>
          <w:sz w:val="15"/>
          <w:szCs w:val="15"/>
          <w:highlight w:val="none"/>
        </w:rPr>
        <w:t>，</w:t>
      </w:r>
      <w:r>
        <w:rPr>
          <w:rFonts w:hint="eastAsia"/>
          <w:sz w:val="15"/>
          <w:szCs w:val="15"/>
          <w:highlight w:val="none"/>
          <w:lang w:val="en-US" w:eastAsia="zh-CN"/>
        </w:rPr>
        <w:t>130182199106111439</w:t>
      </w:r>
      <w:r>
        <w:rPr>
          <w:rFonts w:hint="eastAsia"/>
          <w:sz w:val="15"/>
          <w:szCs w:val="15"/>
        </w:rPr>
        <w:t xml:space="preserve">  </w:t>
      </w:r>
      <w:r>
        <w:rPr>
          <w:rFonts w:hint="eastAsia"/>
          <w:sz w:val="15"/>
          <w:szCs w:val="15"/>
          <w:lang w:val="en-US" w:eastAsia="zh-CN"/>
        </w:rPr>
        <w:t>冀AEB707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