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许倩蕾</w:t>
      </w:r>
      <w:r>
        <w:rPr>
          <w:rFonts w:hint="eastAsia"/>
          <w:sz w:val="15"/>
          <w:szCs w:val="15"/>
          <w:highlight w:val="none"/>
        </w:rPr>
        <w:t>，</w:t>
      </w:r>
      <w:r>
        <w:rPr>
          <w:rFonts w:hint="eastAsia"/>
          <w:sz w:val="15"/>
          <w:szCs w:val="15"/>
          <w:highlight w:val="none"/>
          <w:lang w:val="en-US" w:eastAsia="zh-CN"/>
        </w:rPr>
        <w:t>130182198511112983</w:t>
      </w:r>
      <w:r>
        <w:rPr>
          <w:rFonts w:hint="eastAsia"/>
          <w:sz w:val="15"/>
          <w:szCs w:val="15"/>
        </w:rPr>
        <w:t xml:space="preserve">  </w:t>
      </w:r>
      <w:r>
        <w:rPr>
          <w:rFonts w:hint="eastAsia"/>
          <w:sz w:val="15"/>
          <w:szCs w:val="15"/>
          <w:lang w:val="en-US" w:eastAsia="zh-CN"/>
        </w:rPr>
        <w:t>冀ALB019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