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董雄伟</w:t>
      </w:r>
      <w:r>
        <w:rPr>
          <w:rFonts w:hint="eastAsia"/>
          <w:sz w:val="15"/>
          <w:szCs w:val="15"/>
          <w:highlight w:val="none"/>
        </w:rPr>
        <w:t>，</w:t>
      </w:r>
      <w:r>
        <w:rPr>
          <w:rFonts w:hint="eastAsia"/>
          <w:sz w:val="15"/>
          <w:szCs w:val="15"/>
          <w:highlight w:val="none"/>
          <w:lang w:val="en-US" w:eastAsia="zh-CN"/>
        </w:rPr>
        <w:t>130124198509293339</w:t>
      </w:r>
      <w:r>
        <w:rPr>
          <w:rFonts w:hint="eastAsia"/>
          <w:sz w:val="15"/>
          <w:szCs w:val="15"/>
        </w:rPr>
        <w:t xml:space="preserve">  </w:t>
      </w:r>
      <w:r>
        <w:rPr>
          <w:rFonts w:hint="eastAsia"/>
          <w:sz w:val="15"/>
          <w:szCs w:val="15"/>
          <w:lang w:val="en-US" w:eastAsia="zh-CN"/>
        </w:rPr>
        <w:t>晋B09252D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