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李晓浩</w:t>
      </w:r>
      <w:r>
        <w:rPr>
          <w:rFonts w:hint="eastAsia"/>
          <w:sz w:val="15"/>
          <w:szCs w:val="15"/>
          <w:highlight w:val="none"/>
        </w:rPr>
        <w:t>，</w:t>
      </w:r>
      <w:r>
        <w:rPr>
          <w:rFonts w:hint="eastAsia"/>
          <w:sz w:val="15"/>
          <w:szCs w:val="15"/>
          <w:highlight w:val="none"/>
          <w:lang w:val="en-US" w:eastAsia="zh-CN"/>
        </w:rPr>
        <w:t>130182199006172912</w:t>
      </w:r>
      <w:r>
        <w:rPr>
          <w:rFonts w:hint="eastAsia"/>
          <w:sz w:val="15"/>
          <w:szCs w:val="15"/>
        </w:rPr>
        <w:t xml:space="preserve">  </w:t>
      </w:r>
      <w:r>
        <w:rPr>
          <w:rFonts w:hint="eastAsia"/>
          <w:sz w:val="15"/>
          <w:szCs w:val="15"/>
          <w:lang w:val="en-US" w:eastAsia="zh-CN"/>
        </w:rPr>
        <w:t>冀A508AY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