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刘彩</w:t>
      </w:r>
      <w:r>
        <w:rPr>
          <w:rFonts w:hint="eastAsia"/>
          <w:sz w:val="15"/>
          <w:szCs w:val="15"/>
          <w:highlight w:val="none"/>
        </w:rPr>
        <w:t>，</w:t>
      </w:r>
      <w:r>
        <w:rPr>
          <w:rFonts w:hint="eastAsia"/>
          <w:sz w:val="15"/>
          <w:szCs w:val="15"/>
          <w:highlight w:val="none"/>
          <w:lang w:val="en-US" w:eastAsia="zh-CN"/>
        </w:rPr>
        <w:t>130131198709251284</w:t>
      </w:r>
      <w:r>
        <w:rPr>
          <w:rFonts w:hint="eastAsia"/>
          <w:sz w:val="15"/>
          <w:szCs w:val="15"/>
        </w:rPr>
        <w:t xml:space="preserve">  </w:t>
      </w:r>
      <w:r>
        <w:rPr>
          <w:rFonts w:hint="eastAsia"/>
          <w:sz w:val="15"/>
          <w:szCs w:val="15"/>
          <w:lang w:val="en-US" w:eastAsia="zh-CN"/>
        </w:rPr>
        <w:t>冀A30988D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