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李俊明</w:t>
      </w:r>
      <w:r>
        <w:rPr>
          <w:rFonts w:hint="eastAsia"/>
          <w:sz w:val="15"/>
          <w:szCs w:val="15"/>
          <w:highlight w:val="none"/>
        </w:rPr>
        <w:t>，</w:t>
      </w:r>
      <w:r>
        <w:rPr>
          <w:rFonts w:hint="eastAsia"/>
          <w:sz w:val="15"/>
          <w:szCs w:val="15"/>
          <w:highlight w:val="none"/>
          <w:lang w:val="en-US" w:eastAsia="zh-CN"/>
        </w:rPr>
        <w:t>140322196611292712</w:t>
      </w:r>
      <w:r>
        <w:rPr>
          <w:rFonts w:hint="eastAsia"/>
          <w:sz w:val="15"/>
          <w:szCs w:val="15"/>
        </w:rPr>
        <w:t xml:space="preserve">  </w:t>
      </w:r>
      <w:r>
        <w:rPr>
          <w:rFonts w:hint="eastAsia"/>
          <w:sz w:val="15"/>
          <w:szCs w:val="15"/>
          <w:lang w:val="en-US" w:eastAsia="zh-CN"/>
        </w:rPr>
        <w:t>晋C05262D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