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马玉兰</w:t>
      </w:r>
      <w:r>
        <w:rPr>
          <w:rFonts w:hint="eastAsia"/>
          <w:sz w:val="15"/>
          <w:szCs w:val="15"/>
          <w:highlight w:val="none"/>
        </w:rPr>
        <w:t>，</w:t>
      </w:r>
      <w:r>
        <w:rPr>
          <w:rFonts w:hint="eastAsia"/>
          <w:sz w:val="15"/>
          <w:szCs w:val="15"/>
          <w:highlight w:val="none"/>
          <w:lang w:val="en-US" w:eastAsia="zh-CN"/>
        </w:rPr>
        <w:t>130128198806161821</w:t>
      </w:r>
      <w:r>
        <w:rPr>
          <w:rFonts w:hint="eastAsia"/>
          <w:sz w:val="15"/>
          <w:szCs w:val="15"/>
        </w:rPr>
        <w:t xml:space="preserve">  </w:t>
      </w:r>
      <w:r>
        <w:rPr>
          <w:rFonts w:hint="eastAsia"/>
          <w:sz w:val="15"/>
          <w:szCs w:val="15"/>
          <w:lang w:val="en-US" w:eastAsia="zh-CN"/>
        </w:rPr>
        <w:t>冀A48067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