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张耀波</w:t>
      </w:r>
      <w:r>
        <w:rPr>
          <w:rFonts w:hint="eastAsia"/>
          <w:sz w:val="15"/>
          <w:szCs w:val="15"/>
          <w:highlight w:val="none"/>
        </w:rPr>
        <w:t>，</w:t>
      </w:r>
      <w:r>
        <w:rPr>
          <w:rFonts w:hint="eastAsia"/>
          <w:sz w:val="15"/>
          <w:szCs w:val="15"/>
          <w:highlight w:val="none"/>
          <w:lang w:val="en-US" w:eastAsia="zh-CN"/>
        </w:rPr>
        <w:t>130126198411160039</w:t>
      </w:r>
      <w:r>
        <w:rPr>
          <w:rFonts w:hint="eastAsia"/>
          <w:sz w:val="15"/>
          <w:szCs w:val="15"/>
        </w:rPr>
        <w:t xml:space="preserve">  </w:t>
      </w:r>
      <w:r>
        <w:rPr>
          <w:rFonts w:hint="eastAsia"/>
          <w:sz w:val="15"/>
          <w:szCs w:val="15"/>
          <w:lang w:val="en-US" w:eastAsia="zh-CN"/>
        </w:rPr>
        <w:t>冀A05139D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