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袁嘉柯</w:t>
      </w:r>
      <w:r>
        <w:rPr>
          <w:rFonts w:hint="eastAsia"/>
          <w:sz w:val="15"/>
          <w:szCs w:val="15"/>
          <w:highlight w:val="none"/>
        </w:rPr>
        <w:t>，</w:t>
      </w:r>
      <w:r>
        <w:rPr>
          <w:rFonts w:hint="eastAsia"/>
          <w:sz w:val="15"/>
          <w:szCs w:val="15"/>
          <w:highlight w:val="none"/>
          <w:lang w:val="en-US" w:eastAsia="zh-CN"/>
        </w:rPr>
        <w:t>371728200204217363</w:t>
      </w:r>
      <w:r>
        <w:rPr>
          <w:rFonts w:hint="eastAsia"/>
          <w:sz w:val="15"/>
          <w:szCs w:val="15"/>
        </w:rPr>
        <w:t xml:space="preserve">  </w:t>
      </w:r>
      <w:r>
        <w:rPr>
          <w:rFonts w:hint="eastAsia"/>
          <w:sz w:val="15"/>
          <w:szCs w:val="15"/>
          <w:lang w:val="en-US" w:eastAsia="zh-CN"/>
        </w:rPr>
        <w:t>冀ALC290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