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康亚娟</w:t>
      </w:r>
      <w:r>
        <w:rPr>
          <w:rFonts w:hint="eastAsia"/>
          <w:sz w:val="15"/>
          <w:szCs w:val="15"/>
          <w:highlight w:val="none"/>
        </w:rPr>
        <w:t>，</w:t>
      </w:r>
      <w:r>
        <w:rPr>
          <w:rFonts w:hint="eastAsia"/>
          <w:sz w:val="15"/>
          <w:szCs w:val="15"/>
          <w:highlight w:val="none"/>
          <w:lang w:val="en-US" w:eastAsia="zh-CN"/>
        </w:rPr>
        <w:t>132335198009011464</w:t>
      </w:r>
      <w:r>
        <w:rPr>
          <w:rFonts w:hint="eastAsia"/>
          <w:sz w:val="15"/>
          <w:szCs w:val="15"/>
        </w:rPr>
        <w:t xml:space="preserve">  </w:t>
      </w:r>
      <w:r>
        <w:rPr>
          <w:rFonts w:hint="eastAsia"/>
          <w:sz w:val="15"/>
          <w:szCs w:val="15"/>
          <w:lang w:val="en-US" w:eastAsia="zh-CN"/>
        </w:rPr>
        <w:t>冀AY1439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