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赵伟丽</w:t>
      </w:r>
      <w:r>
        <w:rPr>
          <w:rFonts w:hint="eastAsia"/>
          <w:sz w:val="15"/>
          <w:szCs w:val="15"/>
          <w:highlight w:val="none"/>
        </w:rPr>
        <w:t>，</w:t>
      </w:r>
      <w:r>
        <w:rPr>
          <w:rFonts w:hint="eastAsia"/>
          <w:sz w:val="15"/>
          <w:szCs w:val="15"/>
          <w:highlight w:val="none"/>
          <w:lang w:val="en-US" w:eastAsia="zh-CN"/>
        </w:rPr>
        <w:t>130126198501181247</w:t>
      </w:r>
      <w:r>
        <w:rPr>
          <w:rFonts w:hint="eastAsia"/>
          <w:sz w:val="15"/>
          <w:szCs w:val="15"/>
        </w:rPr>
        <w:t xml:space="preserve">  </w:t>
      </w:r>
      <w:r>
        <w:rPr>
          <w:rFonts w:hint="eastAsia"/>
          <w:sz w:val="15"/>
          <w:szCs w:val="15"/>
          <w:lang w:val="en-US" w:eastAsia="zh-CN"/>
        </w:rPr>
        <w:t>冀A47308D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