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葛旭佳</w:t>
      </w:r>
      <w:r>
        <w:rPr>
          <w:rFonts w:hint="eastAsia"/>
          <w:sz w:val="15"/>
          <w:szCs w:val="15"/>
          <w:highlight w:val="none"/>
        </w:rPr>
        <w:t>，</w:t>
      </w:r>
      <w:r>
        <w:rPr>
          <w:rFonts w:hint="eastAsia"/>
          <w:sz w:val="15"/>
          <w:szCs w:val="15"/>
          <w:highlight w:val="none"/>
          <w:lang w:val="en-US" w:eastAsia="zh-CN"/>
        </w:rPr>
        <w:t>130131200709230045</w:t>
      </w:r>
      <w:r>
        <w:rPr>
          <w:rFonts w:hint="eastAsia"/>
          <w:sz w:val="15"/>
          <w:szCs w:val="15"/>
        </w:rPr>
        <w:t xml:space="preserve">  </w:t>
      </w:r>
      <w:r>
        <w:rPr>
          <w:rFonts w:hint="eastAsia"/>
          <w:sz w:val="15"/>
          <w:szCs w:val="15"/>
          <w:lang w:val="en-US" w:eastAsia="zh-CN"/>
        </w:rPr>
        <w:t>冀AM3916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