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王静</w:t>
      </w:r>
      <w:r>
        <w:rPr>
          <w:rFonts w:hint="eastAsia"/>
          <w:sz w:val="15"/>
          <w:szCs w:val="15"/>
          <w:highlight w:val="none"/>
        </w:rPr>
        <w:t>，</w:t>
      </w:r>
      <w:r>
        <w:rPr>
          <w:rFonts w:hint="eastAsia"/>
          <w:sz w:val="15"/>
          <w:szCs w:val="15"/>
          <w:highlight w:val="none"/>
          <w:lang w:val="en-US" w:eastAsia="zh-CN"/>
        </w:rPr>
        <w:t>130126199311042443</w:t>
      </w:r>
      <w:r>
        <w:rPr>
          <w:rFonts w:hint="eastAsia"/>
          <w:sz w:val="15"/>
          <w:szCs w:val="15"/>
        </w:rPr>
        <w:t xml:space="preserve">  </w:t>
      </w:r>
      <w:r>
        <w:rPr>
          <w:rFonts w:hint="eastAsia"/>
          <w:sz w:val="15"/>
          <w:szCs w:val="15"/>
          <w:lang w:val="en-US" w:eastAsia="zh-CN"/>
        </w:rPr>
        <w:t>冀A44208D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