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李建波</w:t>
      </w:r>
      <w:r>
        <w:rPr>
          <w:rFonts w:hint="eastAsia"/>
          <w:sz w:val="15"/>
          <w:szCs w:val="15"/>
          <w:highlight w:val="none"/>
        </w:rPr>
        <w:t>，</w:t>
      </w:r>
      <w:r>
        <w:rPr>
          <w:rFonts w:hint="eastAsia"/>
          <w:sz w:val="15"/>
          <w:szCs w:val="15"/>
          <w:highlight w:val="none"/>
          <w:lang w:val="en-US" w:eastAsia="zh-CN"/>
        </w:rPr>
        <w:t>132335197404020075</w:t>
      </w:r>
      <w:r>
        <w:rPr>
          <w:rFonts w:hint="eastAsia"/>
          <w:sz w:val="15"/>
          <w:szCs w:val="15"/>
        </w:rPr>
        <w:t xml:space="preserve">  </w:t>
      </w:r>
      <w:r>
        <w:rPr>
          <w:rFonts w:hint="eastAsia"/>
          <w:sz w:val="15"/>
          <w:szCs w:val="15"/>
          <w:lang w:val="en-US" w:eastAsia="zh-CN"/>
        </w:rPr>
        <w:t>冀D00181D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