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邢长命</w:t>
      </w:r>
      <w:r>
        <w:rPr>
          <w:rFonts w:hint="eastAsia"/>
          <w:sz w:val="15"/>
          <w:szCs w:val="15"/>
          <w:highlight w:val="none"/>
        </w:rPr>
        <w:t>，</w:t>
      </w:r>
      <w:r>
        <w:rPr>
          <w:rFonts w:hint="eastAsia"/>
          <w:sz w:val="15"/>
          <w:szCs w:val="15"/>
          <w:highlight w:val="none"/>
          <w:lang w:val="en-US" w:eastAsia="zh-CN"/>
        </w:rPr>
        <w:t>130126198204064212</w:t>
      </w:r>
      <w:r>
        <w:rPr>
          <w:rFonts w:hint="eastAsia"/>
          <w:sz w:val="15"/>
          <w:szCs w:val="15"/>
        </w:rPr>
        <w:t xml:space="preserve">  </w:t>
      </w:r>
      <w:r>
        <w:rPr>
          <w:rFonts w:hint="eastAsia"/>
          <w:sz w:val="15"/>
          <w:szCs w:val="15"/>
          <w:lang w:val="en-US" w:eastAsia="zh-CN"/>
        </w:rPr>
        <w:t>冀A39440D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