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郭利敏</w:t>
      </w:r>
      <w:r>
        <w:rPr>
          <w:rFonts w:hint="eastAsia"/>
          <w:sz w:val="15"/>
          <w:szCs w:val="15"/>
          <w:highlight w:val="none"/>
        </w:rPr>
        <w:t>，</w:t>
      </w:r>
      <w:r>
        <w:rPr>
          <w:rFonts w:hint="eastAsia"/>
          <w:sz w:val="15"/>
          <w:szCs w:val="15"/>
          <w:highlight w:val="none"/>
          <w:lang w:val="en-US" w:eastAsia="zh-CN"/>
        </w:rPr>
        <w:t>130126199008052438</w:t>
      </w:r>
      <w:r>
        <w:rPr>
          <w:rFonts w:hint="eastAsia"/>
          <w:sz w:val="15"/>
          <w:szCs w:val="15"/>
        </w:rPr>
        <w:t xml:space="preserve">  </w:t>
      </w:r>
      <w:r>
        <w:rPr>
          <w:rFonts w:hint="eastAsia"/>
          <w:sz w:val="15"/>
          <w:szCs w:val="15"/>
          <w:lang w:val="en-US" w:eastAsia="zh-CN"/>
        </w:rPr>
        <w:t>冀A34855D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