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李燕鹏</w:t>
      </w:r>
      <w:r>
        <w:rPr>
          <w:rFonts w:hint="eastAsia"/>
          <w:sz w:val="15"/>
          <w:szCs w:val="15"/>
          <w:highlight w:val="none"/>
        </w:rPr>
        <w:t>，</w:t>
      </w:r>
      <w:r>
        <w:rPr>
          <w:rFonts w:hint="eastAsia"/>
          <w:sz w:val="15"/>
          <w:szCs w:val="15"/>
          <w:highlight w:val="none"/>
          <w:lang w:val="en-US" w:eastAsia="zh-CN"/>
        </w:rPr>
        <w:t>130131199003041212</w:t>
      </w:r>
      <w:r>
        <w:rPr>
          <w:rFonts w:hint="eastAsia"/>
          <w:sz w:val="15"/>
          <w:szCs w:val="15"/>
        </w:rPr>
        <w:t xml:space="preserve">  </w:t>
      </w:r>
      <w:r>
        <w:rPr>
          <w:rFonts w:hint="eastAsia"/>
          <w:sz w:val="15"/>
          <w:szCs w:val="15"/>
          <w:lang w:val="en-US" w:eastAsia="zh-CN"/>
        </w:rPr>
        <w:t>沪A33533D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