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赵佳怡</w:t>
      </w:r>
      <w:r>
        <w:rPr>
          <w:rFonts w:hint="eastAsia"/>
          <w:sz w:val="15"/>
          <w:szCs w:val="15"/>
          <w:highlight w:val="none"/>
        </w:rPr>
        <w:t>，</w:t>
      </w:r>
      <w:r>
        <w:rPr>
          <w:rFonts w:hint="eastAsia"/>
          <w:sz w:val="15"/>
          <w:szCs w:val="15"/>
          <w:highlight w:val="none"/>
          <w:lang w:val="en-US" w:eastAsia="zh-CN"/>
        </w:rPr>
        <w:t>130131200704253619</w:t>
      </w:r>
      <w:r>
        <w:rPr>
          <w:rFonts w:hint="eastAsia"/>
          <w:sz w:val="15"/>
          <w:szCs w:val="15"/>
        </w:rPr>
        <w:t xml:space="preserve">  </w:t>
      </w:r>
      <w:r>
        <w:rPr>
          <w:rFonts w:hint="eastAsia"/>
          <w:sz w:val="15"/>
          <w:szCs w:val="15"/>
          <w:lang w:val="en-US" w:eastAsia="zh-CN"/>
        </w:rPr>
        <w:t>冀A31205D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