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杨惠卿</w:t>
      </w:r>
      <w:r>
        <w:rPr>
          <w:rFonts w:hint="eastAsia"/>
          <w:sz w:val="15"/>
          <w:szCs w:val="15"/>
          <w:highlight w:val="none"/>
        </w:rPr>
        <w:t>，</w:t>
      </w:r>
      <w:r>
        <w:rPr>
          <w:rFonts w:hint="eastAsia"/>
          <w:sz w:val="15"/>
          <w:szCs w:val="15"/>
          <w:highlight w:val="none"/>
          <w:lang w:val="en-US" w:eastAsia="zh-CN"/>
        </w:rPr>
        <w:t>132324197407221025</w:t>
      </w:r>
      <w:r>
        <w:rPr>
          <w:rFonts w:hint="eastAsia"/>
          <w:sz w:val="15"/>
          <w:szCs w:val="15"/>
        </w:rPr>
        <w:t xml:space="preserve">  </w:t>
      </w:r>
      <w:r>
        <w:rPr>
          <w:rFonts w:hint="eastAsia"/>
          <w:sz w:val="15"/>
          <w:szCs w:val="15"/>
          <w:lang w:val="en-US" w:eastAsia="zh-CN"/>
        </w:rPr>
        <w:t>冀A403RB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