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赵平刚</w:t>
      </w:r>
      <w:r>
        <w:rPr>
          <w:rFonts w:hint="eastAsia"/>
          <w:sz w:val="15"/>
          <w:szCs w:val="15"/>
          <w:highlight w:val="none"/>
        </w:rPr>
        <w:t>，</w:t>
      </w:r>
      <w:r>
        <w:rPr>
          <w:rFonts w:hint="eastAsia"/>
          <w:sz w:val="15"/>
          <w:szCs w:val="15"/>
          <w:highlight w:val="none"/>
          <w:lang w:val="en-US" w:eastAsia="zh-CN"/>
        </w:rPr>
        <w:t>130126198405170310</w:t>
      </w:r>
      <w:r>
        <w:rPr>
          <w:rFonts w:hint="eastAsia"/>
          <w:sz w:val="15"/>
          <w:szCs w:val="15"/>
        </w:rPr>
        <w:t xml:space="preserve">  </w:t>
      </w:r>
      <w:r>
        <w:rPr>
          <w:rFonts w:hint="eastAsia"/>
          <w:sz w:val="15"/>
          <w:szCs w:val="15"/>
          <w:lang w:val="en-US" w:eastAsia="zh-CN"/>
        </w:rPr>
        <w:t>沪A86363D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